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2026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20750" w:type="dxa"/>
        <w:gridCol w:w="489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750" w:type="pct"/>
          </w:tcPr>
          <w:p>
            <w:pPr/>
            <w:r>
              <w:rPr/>
              <w:t xml:space="preserve">Contratos menores 2025</w:t>
            </w:r>
          </w:p>
        </w:tc>
        <w:tc>
          <w:tcPr>
            <w:tcW w:w="489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</w:t>
            </w:r>
          </w:p>
        </w:tc>
        <w:tc>
          <w:tcPr>
            <w:tcW w:w="4896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2024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Listado anual 2024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150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00" w:type="dxa"/>
          </w:tcPr>
          <w:p>
            <w:pPr/>
            <w:r>
              <w:rPr/>
              <w:t xml:space="preserve">Contratos menores 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Listado anual remitido al Tribunal de Cuentas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37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2022</w:t>
            </w:r>
          </w:p>
        </w:tc>
        <w:tc>
          <w:tcPr>
            <w:tcW w:w="375" w:type="dxa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 LPT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37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2021</w:t>
            </w:r>
          </w:p>
        </w:tc>
        <w:tc>
          <w:tcPr>
            <w:tcW w:w="375" w:type="dxa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2026-11-05T12:25:45+00:00</dcterms:created>
  <dcterms:modified xsi:type="dcterms:W3CDTF">2026-11-05T12:25:45+00:00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