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Las solicitudes de acceso se podrán hacer llegar a través de la sede electrónica:</w:t>
      </w:r>
    </w:p>
    <w:p>
      <w:pPr/>
      <w:r>
        <w:rPr/>
        <w:t xml:space="preserve">O a traves del Portal de Transparencia del Estado:</w:t>
      </w:r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Limites del derecho de acceso </w:t>
      </w:r>
      <w:r>
        <w:rPr/>
        <w:t xml:space="preserve"> (artículo 14 de la LTAIBG)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2026-08-06T02:04:12+00:00</dcterms:created>
  <dcterms:modified xsi:type="dcterms:W3CDTF">2026-08-06T02:04:12+00:00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