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23-09-2019</w:t>
            </w:r>
          </w:p>
        </w:tc>
        <w:tc>
          <w:tcPr/>
          <w:p>
            <w:pPr/>
            <w:r>
              <w:rPr/>
              <w:t xml:space="preserve">Orden FOM/959/2019, de 11 de septiembre, por la que se aprueba la modificación sustancial de la delimitación de espacios y usos portuarios del puerto de Cartagena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12-03-2014</w:t>
            </w:r>
          </w:p>
        </w:tc>
        <w:tc>
          <w:tcPr/>
          <w:p>
            <w:pPr/>
            <w:r>
              <w:rPr/>
              <w:t xml:space="preserve">Orden FOM/458/2014, de 12 de marzo, por la que se aprueba la modificación sustancial de la delimitación de espacios y usos portuarios del puerto de Cartagena.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2017</w:t>
            </w:r>
          </w:p>
        </w:tc>
        <w:tc>
          <w:tcPr/>
          <w:p>
            <w:pPr/>
            <w:r>
              <w:rPr/>
              <w:t xml:space="preserve">Modificación sustancial de la delimitación de espacios y usos portuarios del puerto de Cartagena. Año 2017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2017</w:t>
            </w:r>
          </w:p>
        </w:tc>
        <w:tc>
          <w:tcPr/>
          <w:p>
            <w:pPr/>
            <w:r>
              <w:rPr/>
              <w:t xml:space="preserve">Plano de usos </w:t>
            </w:r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2026-09-20T19:34:27+00:00</dcterms:created>
  <dcterms:modified xsi:type="dcterms:W3CDTF">2026-09-20T19:34:27+00:00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