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091650" w:type="dxa"/>
        <w:gridCol w:w="367750" w:type="dxa"/>
        <w:gridCol w:w="2504200" w:type="dxa"/>
        <w:gridCol w:w="2926800" w:type="dxa"/>
        <w:gridCol w:w="38350" w:type="dxa"/>
        <w:gridCol w:w="2696200" w:type="dxa"/>
        <w:gridCol w:w="219300" w:type="dxa"/>
        <w:gridCol w:w="4771650" w:type="dxa"/>
        <w:gridCol w:w="258700" w:type="dxa"/>
        <w:gridCol w:w="2486600" w:type="dxa"/>
      </w:tblGrid>
      <w:tblPr>
        <w:tblW w:w="5000" w:type="pct"/>
        <w:tblLayout w:type="autofit"/>
        <w:bidiVisual w:val="0"/>
      </w:tblPr>
      <w:tr>
        <w:trPr>
          <w:tblHeader w:val="1"/>
        </w:trPr>
        <w:tc>
          <w:tcPr>
            <w:tcW w:w="2091650" w:type="pct"/>
            <w:vAlign w:val="center"/>
            <w:gridSpan w:val="2"/>
          </w:tcPr>
          <w:p>
            <w:pPr>
              <w:jc w:val="center"/>
            </w:pPr>
            <w:r>
              <w:rPr/>
              <w:t xml:space="preserve">Nº DE REFERENCIA</w:t>
            </w:r>
          </w:p>
        </w:tc>
        <w:tc>
          <w:tcPr>
            <w:tcW w:w="367750" w:type="pct"/>
            <w:vAlign w:val="center"/>
            <w:gridSpan w:val="2"/>
          </w:tcPr>
          <w:p>
            <w:pPr>
              <w:jc w:val="center"/>
            </w:pPr>
            <w:r>
              <w:rPr/>
              <w:t xml:space="preserve">FECHA DEL ENCARGO FORMALIZACIÓN</w:t>
            </w:r>
          </w:p>
        </w:tc>
        <w:tc>
          <w:tcPr>
            <w:tcW w:w="2504200" w:type="pct"/>
            <w:vAlign w:val="center"/>
            <w:gridSpan w:val="2"/>
          </w:tcPr>
          <w:p>
            <w:pPr>
              <w:jc w:val="center"/>
            </w:pPr>
            <w:r>
              <w:rPr/>
              <w:t xml:space="preserve">IMPORTE</w:t>
            </w:r>
          </w:p>
        </w:tc>
        <w:tc>
          <w:tcPr>
            <w:tcW w:w="2926800" w:type="pct"/>
            <w:vAlign w:val="center"/>
            <w:gridSpan w:val="2"/>
          </w:tcPr>
          <w:p>
            <w:pPr>
              <w:jc w:val="center"/>
            </w:pPr>
            <w:r>
              <w:rPr/>
              <w:t xml:space="preserve">IMPUESTOS</w:t>
            </w:r>
          </w:p>
        </w:tc>
        <w:tc>
          <w:tcPr>
            <w:tcW w:w="38350" w:type="pct"/>
            <w:vAlign w:val="center"/>
            <w:gridSpan w:val="2"/>
          </w:tcPr>
          <w:p>
            <w:pPr>
              <w:jc w:val="center"/>
            </w:pPr>
            <w:r>
              <w:rPr/>
              <w:t xml:space="preserve">OBJETO</w:t>
            </w:r>
          </w:p>
        </w:tc>
        <w:tc>
          <w:tcPr>
            <w:tcW w:w="2696200" w:type="pct"/>
            <w:vAlign w:val="center"/>
            <w:gridSpan w:val="2"/>
          </w:tcPr>
          <w:p>
            <w:pPr>
              <w:jc w:val="center"/>
            </w:pPr>
            <w:r>
              <w:rPr/>
              <w:t xml:space="preserve">PLAZO DE EJECUCIÓN (MESES)</w:t>
            </w:r>
          </w:p>
        </w:tc>
        <w:tc>
          <w:tcPr>
            <w:tcW w:w="219300" w:type="pct"/>
            <w:vAlign w:val="center"/>
            <w:gridSpan w:val="2"/>
          </w:tcPr>
          <w:p>
            <w:pPr>
              <w:jc w:val="center"/>
            </w:pPr>
            <w:r>
              <w:rPr/>
              <w:t xml:space="preserve">DESTINATARIO DEL ENCARGO</w:t>
            </w:r>
          </w:p>
        </w:tc>
        <w:tc>
          <w:tcPr>
            <w:tcW w:w="4771650" w:type="pct"/>
            <w:vAlign w:val="center"/>
            <w:gridSpan w:val="2"/>
          </w:tcPr>
          <w:p>
            <w:pPr>
              <w:jc w:val="center"/>
            </w:pPr>
            <w:r>
              <w:rPr/>
              <w:t xml:space="preserve">NIF DESTINARIO DEL ENCARGO</w:t>
            </w:r>
          </w:p>
        </w:tc>
        <w:tc>
          <w:tcPr>
            <w:tcW w:w="258700" w:type="pct"/>
            <w:vAlign w:val="center"/>
            <w:gridSpan w:val="2"/>
          </w:tcPr>
          <w:p>
            <w:pPr>
              <w:jc w:val="center"/>
            </w:pPr>
            <w:r>
              <w:rPr/>
              <w:t xml:space="preserve">SUBCONTRATACIONES</w:t>
            </w:r>
          </w:p>
        </w:tc>
        <w:tc>
          <w:tcPr>
            <w:tcW w:w="2486600" w:type="pct"/>
            <w:vAlign w:val="center"/>
            <w:gridSpan w:val="2"/>
          </w:tcPr>
          <w:p>
            <w:pPr>
              <w:jc w:val="center"/>
            </w:pPr>
            <w:r>
              <w:rPr/>
              <w:t xml:space="preserve">ESTADO</w:t>
            </w:r>
          </w:p>
        </w:tc>
      </w:tr>
      <w:tr>
        <w:trPr/>
        <w:tc>
          <w:tcPr>
            <w:tcW w:w="2091650" w:type="pct"/>
            <w:vAlign w:val="center"/>
            <w:gridSpan w:val="2"/>
          </w:tcPr>
          <w:p>
            <w:pPr>
              <w:jc w:val="center"/>
            </w:pPr>
            <w:r>
              <w:rPr/>
              <w:t xml:space="preserve">EMP 80/2025</w:t>
            </w:r>
          </w:p>
        </w:tc>
        <w:tc>
          <w:tcPr>
            <w:tcW w:w="367750" w:type="pct"/>
            <w:vAlign w:val="center"/>
            <w:gridSpan w:val="2"/>
          </w:tcPr>
          <w:p>
            <w:pPr>
              <w:jc w:val="center"/>
            </w:pPr>
            <w:r>
              <w:rPr/>
              <w:t xml:space="preserve">06/10/2025</w:t>
            </w:r>
          </w:p>
        </w:tc>
        <w:tc>
          <w:tcPr>
            <w:tcW w:w="2504200" w:type="pct"/>
            <w:vAlign w:val="center"/>
            <w:gridSpan w:val="2"/>
          </w:tcPr>
          <w:p>
            <w:pPr>
              <w:jc w:val="center"/>
            </w:pPr>
            <w:r>
              <w:rPr/>
              <w:t xml:space="preserve">546.539,01</w:t>
            </w:r>
          </w:p>
        </w:tc>
        <w:tc>
          <w:tcPr>
            <w:tcW w:w="2926800" w:type="pct"/>
            <w:vAlign w:val="center"/>
            <w:gridSpan w:val="2"/>
          </w:tcPr>
          <w:p>
            <w:pPr>
              <w:jc w:val="center"/>
            </w:pPr>
            <w:r>
              <w:rPr/>
              <w:t xml:space="preserve">114.773,19</w:t>
            </w:r>
          </w:p>
        </w:tc>
        <w:tc>
          <w:tcPr>
            <w:tcW w:w="38350" w:type="pct"/>
            <w:vAlign w:val="center"/>
            <w:gridSpan w:val="2"/>
          </w:tcPr>
          <w:p>
            <w:pPr>
              <w:jc w:val="center"/>
            </w:pPr>
            <w:r>
              <w:rPr/>
              <w:t xml:space="preserve">Redacción del proyecto constructivo de un sistema integral de seguridad en el puerto de Cartagena.</w:t>
            </w:r>
          </w:p>
        </w:tc>
        <w:tc>
          <w:tcPr>
            <w:tcW w:w="2696200" w:type="pct"/>
            <w:vAlign w:val="center"/>
            <w:gridSpan w:val="2"/>
          </w:tcPr>
          <w:p>
            <w:pPr>
              <w:jc w:val="center"/>
            </w:pPr>
            <w:r>
              <w:rPr/>
              <w:t xml:space="preserve">13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51/2025</w:t>
            </w:r>
          </w:p>
        </w:tc>
        <w:tc>
          <w:tcPr>
            <w:tcW w:w="367750" w:type="pct"/>
            <w:vAlign w:val="center"/>
            <w:gridSpan w:val="2"/>
          </w:tcPr>
          <w:p>
            <w:pPr>
              <w:jc w:val="center"/>
            </w:pPr>
            <w:r>
              <w:rPr/>
              <w:t xml:space="preserve">14/07/2025</w:t>
            </w:r>
          </w:p>
        </w:tc>
        <w:tc>
          <w:tcPr>
            <w:tcW w:w="2504200" w:type="pct"/>
            <w:vAlign w:val="center"/>
            <w:gridSpan w:val="2"/>
          </w:tcPr>
          <w:p>
            <w:pPr>
              <w:jc w:val="center"/>
            </w:pPr>
            <w:r>
              <w:rPr/>
              <w:t xml:space="preserve">111.451,90</w:t>
            </w:r>
          </w:p>
        </w:tc>
        <w:tc>
          <w:tcPr>
            <w:tcW w:w="2926800" w:type="pct"/>
            <w:vAlign w:val="center"/>
            <w:gridSpan w:val="2"/>
          </w:tcPr>
          <w:p>
            <w:pPr>
              <w:jc w:val="center"/>
            </w:pPr>
            <w:r>
              <w:rPr/>
              <w:t xml:space="preserve">23.404,90</w:t>
            </w:r>
          </w:p>
        </w:tc>
        <w:tc>
          <w:tcPr>
            <w:tcW w:w="38350" w:type="pct"/>
            <w:vAlign w:val="center"/>
            <w:gridSpan w:val="2"/>
          </w:tcPr>
          <w:p>
            <w:pPr>
              <w:jc w:val="center"/>
            </w:pPr>
            <w:r>
              <w:rPr/>
              <w:t xml:space="preserve">Prestación del servicio de actualización y seguimiento del plan de emergencia interior y el plan interior marítimo del puerto de Cartagena.</w:t>
            </w:r>
          </w:p>
        </w:tc>
        <w:tc>
          <w:tcPr>
            <w:tcW w:w="2696200" w:type="pct"/>
            <w:vAlign w:val="center"/>
            <w:gridSpan w:val="2"/>
          </w:tcPr>
          <w:p>
            <w:pPr>
              <w:jc w:val="center"/>
            </w:pPr>
            <w:r>
              <w:rPr/>
              <w:t xml:space="preserve">4 AÑOS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35/2025</w:t>
            </w:r>
          </w:p>
        </w:tc>
        <w:tc>
          <w:tcPr>
            <w:tcW w:w="367750" w:type="pct"/>
            <w:vAlign w:val="center"/>
            <w:gridSpan w:val="2"/>
          </w:tcPr>
          <w:p>
            <w:pPr>
              <w:jc w:val="center"/>
            </w:pPr>
            <w:r>
              <w:rPr/>
              <w:t xml:space="preserve">07/05/2025</w:t>
            </w:r>
          </w:p>
        </w:tc>
        <w:tc>
          <w:tcPr>
            <w:tcW w:w="2504200" w:type="pct"/>
            <w:vAlign w:val="center"/>
            <w:gridSpan w:val="2"/>
          </w:tcPr>
          <w:p>
            <w:pPr>
              <w:jc w:val="center"/>
            </w:pPr>
            <w:r>
              <w:rPr/>
              <w:t xml:space="preserve">126.573,80</w:t>
            </w:r>
          </w:p>
        </w:tc>
        <w:tc>
          <w:tcPr>
            <w:tcW w:w="2926800" w:type="pct"/>
            <w:vAlign w:val="center"/>
            <w:gridSpan w:val="2"/>
          </w:tcPr>
          <w:p>
            <w:pPr>
              <w:jc w:val="center"/>
            </w:pPr>
            <w:r>
              <w:rPr/>
              <w:t xml:space="preserve">0,00</w:t>
            </w:r>
          </w:p>
        </w:tc>
        <w:tc>
          <w:tcPr>
            <w:tcW w:w="38350" w:type="pct"/>
            <w:vAlign w:val="center"/>
            <w:gridSpan w:val="2"/>
          </w:tcPr>
          <w:p>
            <w:pPr>
              <w:jc w:val="center"/>
            </w:pPr>
            <w:r>
              <w:rPr/>
              <w:t xml:space="preserve">ervicio de reparación y mantenimiento de sistemas de seguridad de la Autoridad Portuaria de Cartagena.</w:t>
            </w:r>
          </w:p>
        </w:tc>
        <w:tc>
          <w:tcPr>
            <w:tcW w:w="2696200" w:type="pct"/>
            <w:vAlign w:val="center"/>
            <w:gridSpan w:val="2"/>
          </w:tcPr>
          <w:p>
            <w:pPr>
              <w:jc w:val="center"/>
            </w:pPr>
            <w:r>
              <w:rPr/>
              <w:t xml:space="preserve">6 MESES</w:t>
            </w:r>
          </w:p>
        </w:tc>
        <w:tc>
          <w:tcPr>
            <w:tcW w:w="219300" w:type="pct"/>
            <w:vAlign w:val="center"/>
            <w:gridSpan w:val="2"/>
          </w:tcPr>
          <w:p>
            <w:pPr>
              <w:jc w:val="center"/>
            </w:pPr>
            <w:r>
              <w:rPr/>
              <w:t xml:space="preserve">Empresa de transformación Agraria SASMEMP (TRAGSA)</w:t>
            </w:r>
          </w:p>
        </w:tc>
        <w:tc>
          <w:tcPr>
            <w:tcW w:w="4771650" w:type="pct"/>
            <w:vAlign w:val="center"/>
            <w:gridSpan w:val="2"/>
          </w:tcPr>
          <w:p>
            <w:pPr>
              <w:jc w:val="center"/>
            </w:pPr>
            <w:r>
              <w:rPr/>
              <w:t xml:space="preserve">A28476208</w:t>
            </w:r>
          </w:p>
        </w:tc>
        <w:tc>
          <w:tcPr>
            <w:tcW w:w="258700" w:type="pct"/>
            <w:vAlign w:val="center"/>
            <w:gridSpan w:val="2"/>
          </w:tcPr>
          <w:p>
            <w:pPr>
              <w:jc w:val="center"/>
            </w:pPr>
            <w:r>
              <w:rPr/>
              <w:t xml:space="preserve">De acuerdo con el artículo 32.7 y la Disposición Adicional vigesimocuarta de la Ley 9/2017, de 8 de noviembre, de Contratos del Sector Público, y con el artículo 14 del RD 69/2019, de 26 de febrero, TRAGSA podrá concertar con terceros la subcontratación parcial de la prestación, en los términos establecidos.</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05/2024</w:t>
            </w:r>
          </w:p>
        </w:tc>
        <w:tc>
          <w:tcPr>
            <w:tcW w:w="367750" w:type="pct"/>
            <w:vAlign w:val="center"/>
            <w:gridSpan w:val="2"/>
          </w:tcPr>
          <w:p>
            <w:pPr>
              <w:jc w:val="center"/>
            </w:pPr>
            <w:r>
              <w:rPr/>
              <w:t xml:space="preserve">09/01/2025</w:t>
            </w:r>
          </w:p>
        </w:tc>
        <w:tc>
          <w:tcPr>
            <w:tcW w:w="2504200" w:type="pct"/>
            <w:vAlign w:val="center"/>
            <w:gridSpan w:val="2"/>
          </w:tcPr>
          <w:p>
            <w:pPr>
              <w:jc w:val="center"/>
            </w:pPr>
            <w:r>
              <w:rPr/>
              <w:t xml:space="preserve">210.102,24</w:t>
            </w:r>
          </w:p>
        </w:tc>
        <w:tc>
          <w:tcPr>
            <w:tcW w:w="2926800" w:type="pct"/>
            <w:vAlign w:val="center"/>
            <w:gridSpan w:val="2"/>
          </w:tcPr>
          <w:p>
            <w:pPr>
              <w:jc w:val="center"/>
            </w:pPr>
            <w:r>
              <w:rPr/>
              <w:t xml:space="preserve">44.121,47</w:t>
            </w:r>
          </w:p>
        </w:tc>
        <w:tc>
          <w:tcPr>
            <w:tcW w:w="38350" w:type="pct"/>
            <w:vAlign w:val="center"/>
            <w:gridSpan w:val="2"/>
          </w:tcPr>
          <w:p>
            <w:pPr>
              <w:jc w:val="center"/>
            </w:pPr>
            <w:r>
              <w:rPr/>
              <w:t xml:space="preserve">Asistencia técnica para la gestión de las expropiaciones de los terrenos necesarios para el proyecto de rack de canalización del valle de Escombreras: Tramo 1</w:t>
            </w:r>
          </w:p>
        </w:tc>
        <w:tc>
          <w:tcPr>
            <w:tcW w:w="2696200" w:type="pct"/>
            <w:vAlign w:val="center"/>
            <w:gridSpan w:val="2"/>
          </w:tcPr>
          <w:p>
            <w:pPr>
              <w:jc w:val="center"/>
            </w:pPr>
            <w:r>
              <w:rPr/>
              <w:t xml:space="preserve">24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61/2024</w:t>
            </w:r>
          </w:p>
        </w:tc>
        <w:tc>
          <w:tcPr>
            <w:tcW w:w="367750" w:type="pct"/>
            <w:vAlign w:val="center"/>
            <w:gridSpan w:val="2"/>
          </w:tcPr>
          <w:p>
            <w:pPr>
              <w:jc w:val="center"/>
            </w:pPr>
            <w:r>
              <w:rPr/>
              <w:t xml:space="preserve">17/12/2024</w:t>
            </w:r>
          </w:p>
        </w:tc>
        <w:tc>
          <w:tcPr>
            <w:tcW w:w="2504200" w:type="pct"/>
            <w:vAlign w:val="center"/>
            <w:gridSpan w:val="2"/>
          </w:tcPr>
          <w:p>
            <w:pPr>
              <w:jc w:val="center"/>
            </w:pPr>
            <w:r>
              <w:rPr/>
              <w:t xml:space="preserve">29.944,24</w:t>
            </w:r>
          </w:p>
        </w:tc>
        <w:tc>
          <w:tcPr>
            <w:tcW w:w="2926800" w:type="pct"/>
            <w:vAlign w:val="center"/>
            <w:gridSpan w:val="2"/>
          </w:tcPr>
          <w:p>
            <w:pPr>
              <w:jc w:val="center"/>
            </w:pPr>
            <w:r>
              <w:rPr/>
              <w:t xml:space="preserve">6.288,26</w:t>
            </w:r>
          </w:p>
        </w:tc>
        <w:tc>
          <w:tcPr>
            <w:tcW w:w="38350" w:type="pct"/>
            <w:vAlign w:val="center"/>
            <w:gridSpan w:val="2"/>
          </w:tcPr>
          <w:p>
            <w:pPr>
              <w:jc w:val="center"/>
            </w:pPr>
            <w:r>
              <w:rPr/>
              <w:t xml:space="preserve">Asistencia Técnica para la Definición de la Estrategia de Mitigación del Cambio Climático en el Puerto de Cartagena</w:t>
            </w:r>
          </w:p>
        </w:tc>
        <w:tc>
          <w:tcPr>
            <w:tcW w:w="2696200" w:type="pct"/>
            <w:vAlign w:val="center"/>
            <w:gridSpan w:val="2"/>
          </w:tcPr>
          <w:p>
            <w:pPr>
              <w:jc w:val="center"/>
            </w:pPr>
            <w:r>
              <w:rPr/>
              <w:t xml:space="preserve">6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7/2024.0</w:t>
            </w:r>
          </w:p>
        </w:tc>
        <w:tc>
          <w:tcPr>
            <w:tcW w:w="367750" w:type="pct"/>
            <w:vAlign w:val="center"/>
            <w:gridSpan w:val="2"/>
          </w:tcPr>
          <w:p>
            <w:pPr>
              <w:jc w:val="center"/>
            </w:pPr>
            <w:r>
              <w:rPr/>
              <w:t xml:space="preserve">15/10/2024</w:t>
            </w:r>
          </w:p>
        </w:tc>
        <w:tc>
          <w:tcPr>
            <w:tcW w:w="2504200" w:type="pct"/>
            <w:vAlign w:val="center"/>
            <w:gridSpan w:val="2"/>
          </w:tcPr>
          <w:p>
            <w:pPr>
              <w:jc w:val="center"/>
            </w:pPr>
            <w:r>
              <w:rPr/>
              <w:t xml:space="preserve">466,49,64</w:t>
            </w:r>
          </w:p>
        </w:tc>
        <w:tc>
          <w:tcPr>
            <w:tcW w:w="2926800" w:type="pct"/>
            <w:vAlign w:val="center"/>
            <w:gridSpan w:val="2"/>
          </w:tcPr>
          <w:p>
            <w:pPr>
              <w:jc w:val="center"/>
            </w:pPr>
            <w:r>
              <w:rPr/>
              <w:t xml:space="preserve">97.870,42</w:t>
            </w:r>
          </w:p>
        </w:tc>
        <w:tc>
          <w:tcPr>
            <w:tcW w:w="38350" w:type="pct"/>
            <w:vAlign w:val="center"/>
            <w:gridSpan w:val="2"/>
          </w:tcPr>
          <w:p>
            <w:pPr>
              <w:jc w:val="center"/>
            </w:pPr>
            <w:r>
              <w:rPr/>
              <w:t xml:space="preserve">Asistencia Técnica al Área se Explotación para la Seguridad y Operativas Ferroviarias del Puerto de Cartagena.</w:t>
            </w:r>
          </w:p>
        </w:tc>
        <w:tc>
          <w:tcPr>
            <w:tcW w:w="2696200" w:type="pct"/>
            <w:vAlign w:val="center"/>
            <w:gridSpan w:val="2"/>
          </w:tcPr>
          <w:p>
            <w:pPr>
              <w:jc w:val="center"/>
            </w:pPr>
            <w:r>
              <w:rPr/>
              <w:t xml:space="preserve">30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56/2024-INF 1047</w:t>
            </w:r>
          </w:p>
        </w:tc>
        <w:tc>
          <w:tcPr>
            <w:tcW w:w="367750" w:type="pct"/>
            <w:vAlign w:val="center"/>
            <w:gridSpan w:val="2"/>
          </w:tcPr>
          <w:p>
            <w:pPr>
              <w:jc w:val="center"/>
            </w:pPr>
            <w:r>
              <w:rPr/>
              <w:t xml:space="preserve">19/08/2024</w:t>
            </w:r>
          </w:p>
        </w:tc>
        <w:tc>
          <w:tcPr>
            <w:tcW w:w="2504200" w:type="pct"/>
            <w:vAlign w:val="center"/>
            <w:gridSpan w:val="2"/>
          </w:tcPr>
          <w:p>
            <w:pPr>
              <w:jc w:val="center"/>
            </w:pPr>
            <w:r>
              <w:rPr/>
              <w:t xml:space="preserve">433.386,58</w:t>
            </w:r>
          </w:p>
        </w:tc>
        <w:tc>
          <w:tcPr>
            <w:tcW w:w="2926800" w:type="pct"/>
            <w:vAlign w:val="center"/>
            <w:gridSpan w:val="2"/>
          </w:tcPr>
          <w:p>
            <w:pPr>
              <w:jc w:val="center"/>
            </w:pPr>
            <w:r>
              <w:rPr/>
              <w:t xml:space="preserve">91.011,18</w:t>
            </w:r>
          </w:p>
        </w:tc>
        <w:tc>
          <w:tcPr>
            <w:tcW w:w="38350" w:type="pct"/>
            <w:vAlign w:val="center"/>
            <w:gridSpan w:val="2"/>
          </w:tcPr>
          <w:p>
            <w:pPr>
              <w:jc w:val="center"/>
            </w:pPr>
            <w:r>
              <w:rPr/>
              <w:t xml:space="preserve">Proceso de puesta en servicio de las actuaciones en materia ferroviaria de la autoridad portuaria de Cartagena.</w:t>
            </w:r>
          </w:p>
        </w:tc>
        <w:tc>
          <w:tcPr>
            <w:tcW w:w="2696200" w:type="pct"/>
            <w:vAlign w:val="center"/>
            <w:gridSpan w:val="2"/>
          </w:tcPr>
          <w:p>
            <w:pPr>
              <w:jc w:val="center"/>
            </w:pPr>
            <w:r>
              <w:rPr/>
              <w:t xml:space="preserve">12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71/2024.04</w:t>
            </w:r>
          </w:p>
        </w:tc>
        <w:tc>
          <w:tcPr>
            <w:tcW w:w="367750" w:type="pct"/>
            <w:vAlign w:val="center"/>
            <w:gridSpan w:val="2"/>
          </w:tcPr>
          <w:p>
            <w:pPr>
              <w:jc w:val="center"/>
            </w:pPr>
            <w:r>
              <w:rPr/>
              <w:t xml:space="preserve">16/02/2024</w:t>
            </w:r>
          </w:p>
        </w:tc>
        <w:tc>
          <w:tcPr>
            <w:tcW w:w="2504200" w:type="pct"/>
            <w:vAlign w:val="center"/>
            <w:gridSpan w:val="2"/>
          </w:tcPr>
          <w:p>
            <w:pPr>
              <w:jc w:val="center"/>
            </w:pPr>
            <w:r>
              <w:rPr/>
              <w:t xml:space="preserve">820.246,89</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Servicio de adquisición, instalación y puesta en marcha de nuevo software para control de accesos</w:t>
            </w:r>
          </w:p>
        </w:tc>
        <w:tc>
          <w:tcPr>
            <w:tcW w:w="2696200" w:type="pct"/>
            <w:vAlign w:val="center"/>
            <w:gridSpan w:val="2"/>
          </w:tcPr>
          <w:p>
            <w:pPr>
              <w:jc w:val="center"/>
            </w:pPr>
            <w:r>
              <w:rPr/>
              <w:t xml:space="preserve">48 meses</w:t>
            </w:r>
          </w:p>
        </w:tc>
        <w:tc>
          <w:tcPr>
            <w:tcW w:w="219300" w:type="pct"/>
            <w:vAlign w:val="center"/>
            <w:gridSpan w:val="2"/>
          </w:tcPr>
          <w:p>
            <w:pPr>
              <w:jc w:val="center"/>
            </w:pPr>
            <w:r>
              <w:rPr/>
              <w:t xml:space="preserve">Empresa de transformación Agraria SASMEMP (TRAGSA)</w:t>
            </w:r>
          </w:p>
        </w:tc>
        <w:tc>
          <w:tcPr>
            <w:tcW w:w="4771650" w:type="pct"/>
            <w:vAlign w:val="center"/>
            <w:gridSpan w:val="2"/>
          </w:tcPr>
          <w:p>
            <w:pPr>
              <w:jc w:val="center"/>
            </w:pPr>
            <w:r>
              <w:rPr/>
              <w:t xml:space="preserve">A28476208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 EMP 04/2024-INF</w:t>
            </w:r>
          </w:p>
        </w:tc>
        <w:tc>
          <w:tcPr>
            <w:tcW w:w="367750" w:type="pct"/>
            <w:vAlign w:val="center"/>
            <w:gridSpan w:val="2"/>
          </w:tcPr>
          <w:p>
            <w:pPr>
              <w:jc w:val="center"/>
            </w:pPr>
            <w:r>
              <w:rPr/>
              <w:t xml:space="preserve">13/02/2024</w:t>
            </w:r>
          </w:p>
        </w:tc>
        <w:tc>
          <w:tcPr>
            <w:tcW w:w="2504200" w:type="pct"/>
            <w:vAlign w:val="center"/>
            <w:gridSpan w:val="2"/>
          </w:tcPr>
          <w:p>
            <w:pPr>
              <w:jc w:val="center"/>
            </w:pPr>
            <w:r>
              <w:rPr/>
              <w:t xml:space="preserve">79.184,4</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Asistencia técnica para la tramitación de las autorizaciones ambientales de un recinto marino para vertidos de diferentes materiales procedentes de tierra o de mar, en la obra futura de Barlomar en el puerto de Cartagena</w:t>
            </w:r>
          </w:p>
        </w:tc>
        <w:tc>
          <w:tcPr>
            <w:tcW w:w="2696200" w:type="pct"/>
            <w:vAlign w:val="center"/>
            <w:gridSpan w:val="2"/>
          </w:tcPr>
          <w:p>
            <w:pPr>
              <w:jc w:val="center"/>
            </w:pPr>
            <w:r>
              <w:rPr/>
              <w:t xml:space="preserve">10 años</w:t>
            </w:r>
          </w:p>
        </w:tc>
        <w:tc>
          <w:tcPr>
            <w:tcW w:w="219300" w:type="pct"/>
            <w:vAlign w:val="center"/>
            <w:gridSpan w:val="2"/>
          </w:tcPr>
          <w:p>
            <w:pPr>
              <w:jc w:val="center"/>
            </w:pPr>
            <w:r>
              <w:rPr/>
              <w:t xml:space="preserve">Sociedad Mercantil Estatal Gestión de Residuos Industriales, S.A., S.M.E., M.P. (EMGRISA)</w:t>
            </w:r>
          </w:p>
        </w:tc>
        <w:tc>
          <w:tcPr>
            <w:tcW w:w="4771650" w:type="pct"/>
            <w:vAlign w:val="center"/>
            <w:gridSpan w:val="2"/>
          </w:tcPr>
          <w:p>
            <w:pPr>
              <w:jc w:val="center"/>
            </w:pPr>
            <w:r>
              <w:rPr/>
              <w:t xml:space="preserve">A79433660</w:t>
            </w:r>
          </w:p>
        </w:tc>
        <w:tc>
          <w:tcPr>
            <w:tcW w:w="258700" w:type="pct"/>
            <w:vAlign w:val="center"/>
            <w:gridSpan w:val="2"/>
          </w:tcPr>
          <w:p>
            <w:pPr>
              <w:jc w:val="center"/>
            </w:pPr>
            <w:r>
              <w:rPr/>
              <w:t xml:space="preserve">El importe de las prestaciones parciales que EMGRISA puede contratar con terceros no excederá del 50 por ciento de la cuantía del encargo. No se considerarán prestaciones parciales aquellas que EMGRISA adquiera a otras empresas cuando se trate de suministros o servicios auxiliares o instrumentales que no constituyen una parte autónoma y diferenciable de la prestación principal, aunque sean parte del proceso necesario para producir dicha prestación.</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03/2024</w:t>
            </w:r>
          </w:p>
        </w:tc>
        <w:tc>
          <w:tcPr>
            <w:tcW w:w="367750" w:type="pct"/>
            <w:vAlign w:val="center"/>
            <w:gridSpan w:val="2"/>
          </w:tcPr>
          <w:p>
            <w:pPr>
              <w:jc w:val="center"/>
            </w:pPr>
            <w:r>
              <w:rPr/>
              <w:t xml:space="preserve">28/02/2024</w:t>
            </w:r>
          </w:p>
        </w:tc>
        <w:tc>
          <w:tcPr>
            <w:tcW w:w="2504200" w:type="pct"/>
            <w:vAlign w:val="center"/>
            <w:gridSpan w:val="2"/>
          </w:tcPr>
          <w:p>
            <w:pPr>
              <w:jc w:val="center"/>
            </w:pPr>
            <w:r>
              <w:rPr/>
              <w:t xml:space="preserve">461.792,35</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Servicio de reparación y mantenimiento de sistemas de seguridad de la Autoridad Portuaria de Cartagena (APC)</w:t>
            </w:r>
          </w:p>
        </w:tc>
        <w:tc>
          <w:tcPr>
            <w:tcW w:w="2696200" w:type="pct"/>
            <w:vAlign w:val="center"/>
            <w:gridSpan w:val="2"/>
          </w:tcPr>
          <w:p>
            <w:pPr>
              <w:jc w:val="center"/>
            </w:pPr>
            <w:r>
              <w:rPr/>
              <w:t xml:space="preserve">12 meses</w:t>
            </w:r>
          </w:p>
        </w:tc>
        <w:tc>
          <w:tcPr>
            <w:tcW w:w="219300" w:type="pct"/>
            <w:vAlign w:val="center"/>
            <w:gridSpan w:val="2"/>
          </w:tcPr>
          <w:p>
            <w:pPr>
              <w:jc w:val="center"/>
            </w:pPr>
            <w:r>
              <w:rPr/>
              <w:t xml:space="preserve">Empresa de transformación Agraria SASMEMP (TRAGSA)</w:t>
            </w:r>
          </w:p>
        </w:tc>
        <w:tc>
          <w:tcPr>
            <w:tcW w:w="4771650" w:type="pct"/>
            <w:vAlign w:val="center"/>
            <w:gridSpan w:val="2"/>
          </w:tcPr>
          <w:p>
            <w:pPr>
              <w:jc w:val="center"/>
            </w:pPr>
            <w:r>
              <w:rPr/>
              <w:t xml:space="preserve">A28476208)</w:t>
            </w:r>
          </w:p>
        </w:tc>
        <w:tc>
          <w:tcPr>
            <w:tcW w:w="258700" w:type="pct"/>
            <w:vAlign w:val="center"/>
            <w:gridSpan w:val="2"/>
          </w:tcPr>
          <w:p>
            <w:pPr>
              <w:jc w:val="center"/>
            </w:pPr>
            <w:r>
              <w:rPr/>
              <w:t xml:space="preserve">De acuerdo con el artículo 32.7 y la Disposición Adicional vigesimocuarta de la Ley 9/2017, de 8 de noviembre, de Contratos del Sector Público, y con el artículo 14 del RD 69/2019, de 26 de febrero, TRAGSA podrá concertar con terceros la subcontratación parcial de la prestación, en los términos establecidos</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02/2024</w:t>
            </w:r>
          </w:p>
        </w:tc>
        <w:tc>
          <w:tcPr>
            <w:tcW w:w="367750" w:type="pct"/>
            <w:vAlign w:val="center"/>
            <w:gridSpan w:val="2"/>
          </w:tcPr>
          <w:p>
            <w:pPr>
              <w:jc w:val="center"/>
            </w:pPr>
            <w:r>
              <w:rPr/>
              <w:t xml:space="preserve">16/02/2024</w:t>
            </w:r>
          </w:p>
        </w:tc>
        <w:tc>
          <w:tcPr>
            <w:tcW w:w="2504200" w:type="pct"/>
            <w:vAlign w:val="center"/>
            <w:gridSpan w:val="2"/>
          </w:tcPr>
          <w:p>
            <w:pPr>
              <w:jc w:val="center"/>
            </w:pPr>
            <w:r>
              <w:rPr/>
              <w:t xml:space="preserve">57.296,44</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Redacción del proyecto de un sistema integral de seguridad en el puerto de Cartagena. Fase 1.</w:t>
            </w:r>
          </w:p>
        </w:tc>
        <w:tc>
          <w:tcPr>
            <w:tcW w:w="2696200" w:type="pct"/>
            <w:vAlign w:val="center"/>
            <w:gridSpan w:val="2"/>
          </w:tcPr>
          <w:p>
            <w:pPr>
              <w:jc w:val="center"/>
            </w:pPr>
            <w:r>
              <w:rPr/>
              <w:t xml:space="preserve">4 meses</w:t>
            </w:r>
          </w:p>
        </w:tc>
        <w:tc>
          <w:tcPr>
            <w:tcW w:w="219300" w:type="pct"/>
            <w:vAlign w:val="center"/>
            <w:gridSpan w:val="2"/>
          </w:tcPr>
          <w:p>
            <w:pPr>
              <w:jc w:val="center"/>
            </w:pPr>
            <w:r>
              <w:rPr/>
              <w:t xml:space="preserve">Sociedad Mercantil Estatal Ingeniería y Economía del Transporte S.M.E. M.P., S.A., en adelante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 </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 EMP 01/2024.0-INF.1036</w:t>
            </w:r>
          </w:p>
        </w:tc>
        <w:tc>
          <w:tcPr>
            <w:tcW w:w="367750" w:type="pct"/>
            <w:vAlign w:val="center"/>
            <w:gridSpan w:val="2"/>
          </w:tcPr>
          <w:p>
            <w:pPr>
              <w:jc w:val="center"/>
            </w:pPr>
            <w:r>
              <w:rPr/>
              <w:t xml:space="preserve">16/02/2024</w:t>
            </w:r>
          </w:p>
        </w:tc>
        <w:tc>
          <w:tcPr>
            <w:tcW w:w="2504200" w:type="pct"/>
            <w:vAlign w:val="center"/>
            <w:gridSpan w:val="2"/>
          </w:tcPr>
          <w:p>
            <w:pPr>
              <w:jc w:val="center"/>
            </w:pPr>
            <w:r>
              <w:rPr/>
              <w:t xml:space="preserve">520.834,77</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Asistencia Técnica de apoyo a las comisiones Técnicas de contratación del departamento de infraestructuras de la APC</w:t>
            </w:r>
          </w:p>
        </w:tc>
        <w:tc>
          <w:tcPr>
            <w:tcW w:w="2696200" w:type="pct"/>
            <w:vAlign w:val="center"/>
            <w:gridSpan w:val="2"/>
          </w:tcPr>
          <w:p>
            <w:pPr>
              <w:jc w:val="center"/>
            </w:pPr>
            <w:r>
              <w:rPr/>
              <w:t xml:space="preserve">48 Meses</w:t>
            </w:r>
          </w:p>
        </w:tc>
        <w:tc>
          <w:tcPr>
            <w:tcW w:w="219300" w:type="pct"/>
            <w:vAlign w:val="center"/>
            <w:gridSpan w:val="2"/>
          </w:tcPr>
          <w:p>
            <w:pPr>
              <w:jc w:val="center"/>
            </w:pPr>
            <w:r>
              <w:rPr/>
              <w:t xml:space="preserve">Sociedad Mercantil Estatal Ingeniería y Economía del Transporte S.M.E. M.P., S.A., en adelante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2026-06-21T21:16:36+00:00</dcterms:created>
  <dcterms:modified xsi:type="dcterms:W3CDTF">2026-06-21T21:16:36+00:00</dcterms:modified>
</cp:coreProperties>
</file>

<file path=docProps/custom.xml><?xml version="1.0" encoding="utf-8"?>
<Properties xmlns="http://schemas.openxmlformats.org/officeDocument/2006/custom-properties" xmlns:vt="http://schemas.openxmlformats.org/officeDocument/2006/docPropsVTypes"/>
</file>